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6"/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</w:pPr>
      <w:r>
        <w:rPr>
          <w:rStyle w:val="6"/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方正小标宋简体" w:hAnsi="方正小标宋简体" w:eastAsia="方正小标宋简体" w:cs="Times New Roman"/>
          <w:color w:val="000000"/>
          <w:kern w:val="0"/>
          <w:sz w:val="36"/>
          <w:szCs w:val="32"/>
          <w:lang w:val="en-US" w:eastAsia="zh-CN"/>
        </w:rPr>
      </w:pPr>
      <w:bookmarkStart w:id="2" w:name="_GoBack"/>
      <w:bookmarkEnd w:id="2"/>
      <w:r>
        <w:rPr>
          <w:rStyle w:val="6"/>
          <w:rFonts w:hint="eastAsia" w:ascii="方正小标宋简体" w:hAnsi="方正小标宋简体" w:eastAsia="方正小标宋简体" w:cs="Times New Roman"/>
          <w:color w:val="000000"/>
          <w:kern w:val="0"/>
          <w:sz w:val="36"/>
          <w:szCs w:val="32"/>
          <w:lang w:val="en-US" w:eastAsia="zh-CN"/>
        </w:rPr>
        <w:t>中央国家机关创建节约型机关评价指标</w:t>
      </w:r>
    </w:p>
    <w:tbl>
      <w:tblPr>
        <w:tblStyle w:val="5"/>
        <w:tblW w:w="137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41"/>
        <w:gridCol w:w="1301"/>
        <w:gridCol w:w="2677"/>
        <w:gridCol w:w="7614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序号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单元</w:t>
            </w:r>
          </w:p>
        </w:tc>
        <w:tc>
          <w:tcPr>
            <w:tcW w:w="13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黑体"/>
                <w:b/>
              </w:rPr>
            </w:pPr>
            <w:r>
              <w:rPr>
                <w:rFonts w:hint="eastAsia" w:ascii="宋体" w:hAnsi="宋体" w:cs="黑体"/>
                <w:b/>
              </w:rPr>
              <w:t>项目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黑体"/>
                <w:b/>
                <w:lang w:eastAsia="zh-CN"/>
              </w:rPr>
              <w:t>评分</w:t>
            </w:r>
            <w:r>
              <w:rPr>
                <w:rFonts w:hint="eastAsia" w:ascii="宋体" w:hAnsi="宋体" w:cs="黑体"/>
                <w:b/>
              </w:rPr>
              <w:t>要求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黑体"/>
                <w:b/>
              </w:rPr>
              <w:t>评分规则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bookmarkStart w:id="0" w:name="_Hlk336244489"/>
            <w:bookmarkStart w:id="1" w:name="_Hlk345235444"/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强化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目标</w:t>
            </w:r>
          </w:p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管理</w:t>
            </w:r>
          </w:p>
        </w:tc>
        <w:tc>
          <w:tcPr>
            <w:tcW w:w="1301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节约能源资源目标</w:t>
            </w:r>
            <w:r>
              <w:rPr>
                <w:rFonts w:hint="eastAsia" w:ascii="宋体" w:hAnsi="宋体" w:cs="宋体"/>
                <w:lang w:eastAsia="zh-CN"/>
              </w:rPr>
              <w:t>管理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完成能源资源消耗量化指标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1.中央国家机关本级完成国管局下达的能源资源消耗量化指标的，得10分，没完成的，不得分。</w:t>
            </w:r>
          </w:p>
          <w:p>
            <w:pPr>
              <w:pStyle w:val="7"/>
              <w:ind w:left="0" w:leftChars="0" w:firstLine="0" w:firstLineChars="0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2.中央国家机关垂管派出机构完成</w:t>
            </w:r>
            <w:r>
              <w:rPr>
                <w:rFonts w:hint="eastAsia" w:ascii="宋体" w:hAnsi="宋体" w:cs="宋体"/>
              </w:rPr>
              <w:t>上级主管部门</w:t>
            </w:r>
            <w:r>
              <w:rPr>
                <w:rFonts w:hint="eastAsia" w:ascii="宋体" w:hAnsi="宋体" w:cs="宋体"/>
                <w:lang w:val="en-US" w:eastAsia="zh-CN"/>
              </w:rPr>
              <w:t>下达的能源资源消耗量化指标的，得10分，没完成的，不得分；</w:t>
            </w:r>
            <w:r>
              <w:rPr>
                <w:rFonts w:hint="eastAsia" w:ascii="宋体" w:hAnsi="宋体" w:cs="宋体"/>
              </w:rPr>
              <w:t>上级主管部门</w:t>
            </w:r>
            <w:r>
              <w:rPr>
                <w:rFonts w:hint="eastAsia" w:ascii="宋体" w:hAnsi="宋体" w:cs="宋体"/>
                <w:lang w:eastAsia="zh-CN"/>
              </w:rPr>
              <w:t>没有下达量化指标的，通过对</w:t>
            </w:r>
            <w:r>
              <w:rPr>
                <w:rFonts w:hint="eastAsia" w:ascii="宋体" w:hAnsi="宋体" w:cs="宋体"/>
              </w:rPr>
              <w:t>上一个自然年度单位建筑面积能源消耗、人均能源消耗、人均水资源消耗</w:t>
            </w:r>
            <w:r>
              <w:rPr>
                <w:rFonts w:hint="eastAsia" w:ascii="宋体" w:hAnsi="宋体" w:cs="宋体"/>
                <w:lang w:eastAsia="zh-CN"/>
              </w:rPr>
              <w:t>值与</w:t>
            </w:r>
            <w:r>
              <w:rPr>
                <w:rFonts w:hint="eastAsia" w:ascii="宋体" w:hAnsi="宋体" w:cs="宋体"/>
                <w:lang w:val="en-US" w:eastAsia="zh-CN"/>
              </w:rPr>
              <w:t>属地同级行政</w:t>
            </w:r>
            <w:r>
              <w:rPr>
                <w:rFonts w:hint="eastAsia" w:ascii="宋体" w:hAnsi="宋体" w:cs="宋体"/>
                <w:lang w:eastAsia="zh-CN"/>
              </w:rPr>
              <w:t>机关</w:t>
            </w:r>
            <w:r>
              <w:rPr>
                <w:rFonts w:hint="eastAsia" w:ascii="宋体" w:hAnsi="宋体" w:cs="宋体"/>
              </w:rPr>
              <w:t>能源</w:t>
            </w:r>
            <w:r>
              <w:rPr>
                <w:rFonts w:hint="eastAsia" w:ascii="宋体" w:hAnsi="宋体" w:cs="宋体"/>
                <w:lang w:eastAsia="zh-CN"/>
              </w:rPr>
              <w:t>资源</w:t>
            </w:r>
            <w:r>
              <w:rPr>
                <w:rFonts w:hint="eastAsia" w:ascii="宋体" w:hAnsi="宋体" w:cs="宋体"/>
              </w:rPr>
              <w:t>消耗平均值进行</w:t>
            </w:r>
            <w:r>
              <w:rPr>
                <w:rFonts w:hint="eastAsia" w:ascii="宋体" w:hAnsi="宋体" w:cs="宋体"/>
                <w:lang w:eastAsia="zh-CN"/>
              </w:rPr>
              <w:t>比较判定，三项均低于平均值的得</w:t>
            </w:r>
            <w:r>
              <w:rPr>
                <w:rFonts w:hint="eastAsia" w:ascii="宋体" w:hAnsi="宋体" w:cs="宋体"/>
                <w:lang w:val="en-US" w:eastAsia="zh-CN"/>
              </w:rPr>
              <w:t>10分，有一项高于平均值的不得分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完善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制度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机制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管理机构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明确负责节约能源资源工作的管理机构和工作职责，设置能源资源管理岗位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1.明确负责节约能源资源工作的管理机构和工作职责，得4分。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2.设置能源资源管理岗位，明确专人负责，得3分。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管理制度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Times New Roman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制定并实施合理的节约能源资源规章制度</w:t>
            </w:r>
            <w:r>
              <w:rPr>
                <w:rFonts w:hint="eastAsia" w:ascii="宋体" w:hAnsi="宋体" w:cs="宋体"/>
                <w:lang w:eastAsia="zh-CN"/>
              </w:rPr>
              <w:t>，按规定开展能源资源计量、统计、分析等工作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1.制定节约能源资源实施方案，并明确年度节约能源资源目标，得4分。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2.通过规章制度或合同约定，对物业管理提出节能、节水、生活垃圾分类管理目标和服务要求，得4分。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3.按照《公共机构能源资源计量器具配备和管理要求》，实行能源资源分户、分区、分项计量，建立能源资源计量器具台账，得4分。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4.按照《公共机构能源资源消费统计调查制度》要求，建立能源资源消费统计台账，定期报送、分析和公示能源资源消费状况，得4分。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5.制定其他节能、节水、生活垃圾分类、绿色消费、节能监管系统以及设备设施操作规程等节约能源资源的管理制度，制定1项得1分，累计最高得4分。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推行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绿色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办公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行为节约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Times New Roman" w:eastAsiaTheme="minorEastAsia"/>
                <w:lang w:eastAsia="zh-CN"/>
              </w:rPr>
            </w:pPr>
            <w:r>
              <w:rPr>
                <w:rFonts w:hint="eastAsia" w:ascii="宋体" w:hAnsi="宋体" w:cs="Times New Roman"/>
                <w:lang w:eastAsia="zh-CN"/>
              </w:rPr>
              <w:t>健全完善推行行为节约、绿色办公的举措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left="218" w:leftChars="0" w:hanging="218" w:hangingChars="104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1.推进无纸化办公，使用再生纸、再生耗材等循环再生办公用品，得2.5分。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2.实现高效照明光源使用率100%，得1.5分。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3.充分利用自然采光，得1分。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4.执行夏季室内空调温度设置不得低于26摄氏度，冬季室内空调温度设置不得高于20摄氏度的空调温度控制标准，得1.5分。</w:t>
            </w:r>
          </w:p>
          <w:p>
            <w:pPr>
              <w:pStyle w:val="7"/>
              <w:ind w:left="218" w:leftChars="0" w:hanging="218" w:hangingChars="104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5.充分利用自然通风，得1分。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6.使用节水型器具，采取有效节水管理措施，得2.5分。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绿色采购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Times New Roman" w:eastAsiaTheme="minorEastAsia"/>
                <w:lang w:eastAsia="zh-CN"/>
              </w:rPr>
            </w:pPr>
            <w:r>
              <w:rPr>
                <w:rFonts w:hint="eastAsia" w:ascii="宋体" w:hAnsi="宋体" w:cs="Times New Roman"/>
                <w:lang w:eastAsia="zh-CN"/>
              </w:rPr>
              <w:t>实行绿色采购，使用节能环保产品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1.加大绿色采购力度，带头采购更多节能、节水、环保、再生等绿色产品，得3分。</w:t>
            </w:r>
          </w:p>
          <w:p>
            <w:pPr>
              <w:pStyle w:val="7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2.更新公务用车优先采购新能源汽车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绿色出行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Times New Roman" w:eastAsiaTheme="minorEastAsia"/>
                <w:lang w:eastAsia="zh-CN"/>
              </w:rPr>
            </w:pPr>
            <w:r>
              <w:rPr>
                <w:rFonts w:hint="eastAsia" w:ascii="宋体" w:hAnsi="宋体" w:cs="Times New Roman"/>
                <w:lang w:eastAsia="zh-CN"/>
              </w:rPr>
              <w:t>推动绿色出行，强化公务用车管理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1.鼓励干部职工践行“135”等低碳出行方式，得3分。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2.实行公务用车单车油耗核算，得3分。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实行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生活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垃圾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分类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源头减量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Times New Roman" w:eastAsiaTheme="minorEastAsia"/>
                <w:lang w:eastAsia="zh-CN"/>
              </w:rPr>
            </w:pPr>
            <w:r>
              <w:rPr>
                <w:rFonts w:hint="eastAsia" w:ascii="宋体" w:hAnsi="宋体" w:cs="Times New Roman"/>
                <w:lang w:eastAsia="zh-CN"/>
              </w:rPr>
              <w:t>推动生活垃圾从源头减量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1.开展“光盘行动”、旧物再利用等生活垃圾源头减量化措施、活动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7"/>
              <w:ind w:firstLine="0" w:firstLine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2.停止使用不可降解一次性塑料制品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7"/>
              <w:ind w:firstLine="0" w:firstLineChars="0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3.限制使用一次性办公用品，得3.5分。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分类投放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按标准配备生活垃圾分类容器，引导干部职工分类投放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1.按生活垃圾分类标准合理配置垃圾分类容器设施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7"/>
              <w:ind w:firstLine="0" w:firstLine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2.干部职工分类投放生活垃圾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7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3.垃圾集中投放点张贴垃圾分类投放指南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分类收运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Times New Roman" w:eastAsiaTheme="minorEastAsia"/>
                <w:lang w:eastAsia="zh-CN"/>
              </w:rPr>
            </w:pPr>
            <w:r>
              <w:rPr>
                <w:rFonts w:hint="eastAsia" w:ascii="宋体" w:hAnsi="宋体" w:cs="Times New Roman"/>
                <w:lang w:eastAsia="zh-CN"/>
              </w:rPr>
              <w:t>按规定对生活垃圾进行分类收运和处置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1.有害垃圾单独存放，与具备处理资质的企业签订收运处置协议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7"/>
              <w:ind w:firstLine="0" w:firstLine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2.可回收物统一回收，与具备回收资质的企业签订收运处置协议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7"/>
              <w:ind w:firstLine="0" w:firstLine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3.餐厨垃圾按国家及属地要求规范收运处置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7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4.建立垃圾分类清运台帐,定期公示垃圾清运量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8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开展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宣传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教育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宣传实践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>开展</w:t>
            </w:r>
            <w:r>
              <w:rPr>
                <w:rFonts w:hint="eastAsia" w:ascii="宋体" w:hAnsi="宋体" w:cs="宋体"/>
                <w:lang w:eastAsia="zh-CN"/>
              </w:rPr>
              <w:t>多种形式</w:t>
            </w:r>
            <w:r>
              <w:rPr>
                <w:rFonts w:hint="eastAsia" w:ascii="宋体" w:hAnsi="宋体" w:cs="宋体"/>
              </w:rPr>
              <w:t>节约能源资源宣传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1.结合全国节能宣传周、全国低碳日、世界水日、中国水周等活动</w:t>
            </w:r>
            <w:r>
              <w:rPr>
                <w:rFonts w:hint="eastAsia" w:ascii="宋体" w:hAnsi="宋体" w:cs="宋体"/>
                <w:lang w:eastAsia="zh-CN"/>
              </w:rPr>
              <w:t>，组织开展形式多样的宣传实践活动，开展</w:t>
            </w:r>
            <w:r>
              <w:rPr>
                <w:rFonts w:hint="eastAsia" w:ascii="宋体" w:hAnsi="宋体" w:cs="宋体"/>
                <w:lang w:val="en-US" w:eastAsia="zh-CN"/>
              </w:rPr>
              <w:t>1项活动得2分，累计最高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2.张贴设备节电、随手关灯、节约用水、减少使用电梯、空调温度设定、垃圾分类投放等提醒标识，有1类标识得2分，累计最高得4分。</w:t>
            </w:r>
          </w:p>
          <w:p>
            <w:pPr>
              <w:pStyle w:val="7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3.在新闻媒体或主管部门宣传平台报道本单位节约能源资源经验做法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hint="eastAsia" w:ascii="宋体" w:hAnsi="宋体" w:cs="Times New Roma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教育培训</w:t>
            </w:r>
          </w:p>
        </w:tc>
        <w:tc>
          <w:tcPr>
            <w:tcW w:w="2677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组织</w:t>
            </w:r>
            <w:r>
              <w:rPr>
                <w:rFonts w:hint="eastAsia" w:ascii="宋体" w:hAnsi="宋体" w:cs="宋体"/>
              </w:rPr>
              <w:t>对能源管理和运行人员</w:t>
            </w:r>
            <w:r>
              <w:rPr>
                <w:rFonts w:hint="eastAsia" w:ascii="宋体" w:hAnsi="宋体" w:cs="宋体"/>
                <w:lang w:eastAsia="zh-CN"/>
              </w:rPr>
              <w:t>的</w:t>
            </w:r>
            <w:r>
              <w:rPr>
                <w:rFonts w:hint="eastAsia" w:ascii="宋体" w:hAnsi="宋体" w:cs="宋体"/>
              </w:rPr>
              <w:t>节能培训</w:t>
            </w:r>
          </w:p>
        </w:tc>
        <w:tc>
          <w:tcPr>
            <w:tcW w:w="7614" w:type="dxa"/>
            <w:vAlign w:val="center"/>
          </w:tcPr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1.将绿色发展、节能节水、垃圾分类等内容纳入干部职工培训体系，得3分。</w:t>
            </w:r>
          </w:p>
          <w:p>
            <w:pPr>
              <w:pStyle w:val="7"/>
              <w:ind w:left="218" w:leftChars="0" w:hanging="218" w:hangingChars="10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2.每年举办面向干部职工的节能低碳等生态文明建设知识讲座、能源管理与运行岗位培训等教育培训活动，得3分。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0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总  分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ascii="宋体" w:hAnsi="宋体" w:cs="宋体"/>
              </w:rPr>
              <w:t>0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kern w:val="0"/>
          <w:sz w:val="16"/>
          <w:szCs w:val="16"/>
          <w:lang w:eastAsia="zh-CN"/>
        </w:rPr>
      </w:pPr>
    </w:p>
    <w:sectPr>
      <w:footerReference r:id="rId3" w:type="default"/>
      <w:pgSz w:w="16838" w:h="11906" w:orient="landscape"/>
      <w:pgMar w:top="1689" w:right="1440" w:bottom="1689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912C7"/>
    <w:rsid w:val="00A87996"/>
    <w:rsid w:val="00B110C4"/>
    <w:rsid w:val="01677E5E"/>
    <w:rsid w:val="019E5FD3"/>
    <w:rsid w:val="01C37EF0"/>
    <w:rsid w:val="0204669B"/>
    <w:rsid w:val="036670CC"/>
    <w:rsid w:val="049F721B"/>
    <w:rsid w:val="054C0011"/>
    <w:rsid w:val="055A0568"/>
    <w:rsid w:val="06791E94"/>
    <w:rsid w:val="082E5E37"/>
    <w:rsid w:val="088D4D7F"/>
    <w:rsid w:val="09172CF3"/>
    <w:rsid w:val="09D34559"/>
    <w:rsid w:val="0B16419E"/>
    <w:rsid w:val="0BC97B11"/>
    <w:rsid w:val="0BEF07E7"/>
    <w:rsid w:val="0C2215CD"/>
    <w:rsid w:val="0C4000BA"/>
    <w:rsid w:val="0DF83E4F"/>
    <w:rsid w:val="0E3C63C0"/>
    <w:rsid w:val="0E8D203F"/>
    <w:rsid w:val="0F5132C7"/>
    <w:rsid w:val="0F8C2403"/>
    <w:rsid w:val="10546791"/>
    <w:rsid w:val="11C441A5"/>
    <w:rsid w:val="12052029"/>
    <w:rsid w:val="12453DB9"/>
    <w:rsid w:val="128119DD"/>
    <w:rsid w:val="12A20D3E"/>
    <w:rsid w:val="131669D2"/>
    <w:rsid w:val="14AA0388"/>
    <w:rsid w:val="14C91565"/>
    <w:rsid w:val="14D02949"/>
    <w:rsid w:val="15853D0C"/>
    <w:rsid w:val="158E46BC"/>
    <w:rsid w:val="163869FF"/>
    <w:rsid w:val="16CC1B99"/>
    <w:rsid w:val="172869E1"/>
    <w:rsid w:val="174D76EE"/>
    <w:rsid w:val="181425EB"/>
    <w:rsid w:val="18B2752B"/>
    <w:rsid w:val="193D7903"/>
    <w:rsid w:val="19A05D6A"/>
    <w:rsid w:val="1A363915"/>
    <w:rsid w:val="1A473E5A"/>
    <w:rsid w:val="1A676A19"/>
    <w:rsid w:val="1A8A2979"/>
    <w:rsid w:val="1B253642"/>
    <w:rsid w:val="1B2651D3"/>
    <w:rsid w:val="1B3A644B"/>
    <w:rsid w:val="1BAA50E3"/>
    <w:rsid w:val="1C195D7D"/>
    <w:rsid w:val="1CC244F4"/>
    <w:rsid w:val="1DBA2D3A"/>
    <w:rsid w:val="1DCD79C1"/>
    <w:rsid w:val="1E6636C6"/>
    <w:rsid w:val="1EF90980"/>
    <w:rsid w:val="1F961CDA"/>
    <w:rsid w:val="202B53E4"/>
    <w:rsid w:val="203B63C2"/>
    <w:rsid w:val="20534096"/>
    <w:rsid w:val="20BE2728"/>
    <w:rsid w:val="22020D34"/>
    <w:rsid w:val="222862D8"/>
    <w:rsid w:val="22672E14"/>
    <w:rsid w:val="23996F87"/>
    <w:rsid w:val="23AF77C4"/>
    <w:rsid w:val="23C161B3"/>
    <w:rsid w:val="241C2E79"/>
    <w:rsid w:val="24A40ADD"/>
    <w:rsid w:val="25056FCA"/>
    <w:rsid w:val="26002407"/>
    <w:rsid w:val="268A5C61"/>
    <w:rsid w:val="26FB46C2"/>
    <w:rsid w:val="277E71A0"/>
    <w:rsid w:val="27A46320"/>
    <w:rsid w:val="280218D0"/>
    <w:rsid w:val="28EC689A"/>
    <w:rsid w:val="2A6713BF"/>
    <w:rsid w:val="2A6A04DB"/>
    <w:rsid w:val="2B0545E4"/>
    <w:rsid w:val="2B6C4BE8"/>
    <w:rsid w:val="2BCA1548"/>
    <w:rsid w:val="2BD7230F"/>
    <w:rsid w:val="2C1218B3"/>
    <w:rsid w:val="2C6635A5"/>
    <w:rsid w:val="2D632991"/>
    <w:rsid w:val="2D6357A6"/>
    <w:rsid w:val="2D795CBE"/>
    <w:rsid w:val="2DFD62E2"/>
    <w:rsid w:val="2E2730C1"/>
    <w:rsid w:val="2F0368D6"/>
    <w:rsid w:val="2F295E00"/>
    <w:rsid w:val="2F905592"/>
    <w:rsid w:val="2F94375D"/>
    <w:rsid w:val="2FDA2492"/>
    <w:rsid w:val="2FE96747"/>
    <w:rsid w:val="30775BA5"/>
    <w:rsid w:val="31256761"/>
    <w:rsid w:val="313B4E30"/>
    <w:rsid w:val="31404A0F"/>
    <w:rsid w:val="320F34FD"/>
    <w:rsid w:val="338B1BA8"/>
    <w:rsid w:val="347551B1"/>
    <w:rsid w:val="34E3336E"/>
    <w:rsid w:val="35FB69F0"/>
    <w:rsid w:val="36072888"/>
    <w:rsid w:val="362D5FF8"/>
    <w:rsid w:val="36473F71"/>
    <w:rsid w:val="368371CD"/>
    <w:rsid w:val="37B13E8D"/>
    <w:rsid w:val="384177F9"/>
    <w:rsid w:val="38633318"/>
    <w:rsid w:val="396D0FE6"/>
    <w:rsid w:val="397912C7"/>
    <w:rsid w:val="3A010AC3"/>
    <w:rsid w:val="3A375270"/>
    <w:rsid w:val="3B9C6C98"/>
    <w:rsid w:val="3BF450C1"/>
    <w:rsid w:val="3C1D6560"/>
    <w:rsid w:val="3FB83D71"/>
    <w:rsid w:val="400E0717"/>
    <w:rsid w:val="410D0D68"/>
    <w:rsid w:val="41866F39"/>
    <w:rsid w:val="41CF1FED"/>
    <w:rsid w:val="41F23194"/>
    <w:rsid w:val="420726D0"/>
    <w:rsid w:val="44791128"/>
    <w:rsid w:val="46291F66"/>
    <w:rsid w:val="46F14225"/>
    <w:rsid w:val="4761680B"/>
    <w:rsid w:val="476C3814"/>
    <w:rsid w:val="4798680D"/>
    <w:rsid w:val="4977540E"/>
    <w:rsid w:val="49EF77B7"/>
    <w:rsid w:val="4A07162F"/>
    <w:rsid w:val="4AA4401F"/>
    <w:rsid w:val="4AB12AA9"/>
    <w:rsid w:val="4B3B4C84"/>
    <w:rsid w:val="4C135EF4"/>
    <w:rsid w:val="4CBC2B13"/>
    <w:rsid w:val="4CD16005"/>
    <w:rsid w:val="4D0E1998"/>
    <w:rsid w:val="4D136EAA"/>
    <w:rsid w:val="4DBA32F9"/>
    <w:rsid w:val="4DE741EF"/>
    <w:rsid w:val="4E2C472B"/>
    <w:rsid w:val="4E642CE5"/>
    <w:rsid w:val="4FF34B10"/>
    <w:rsid w:val="505F308A"/>
    <w:rsid w:val="507C4E2F"/>
    <w:rsid w:val="50FF7C1B"/>
    <w:rsid w:val="519932A3"/>
    <w:rsid w:val="51E535D9"/>
    <w:rsid w:val="51F744C8"/>
    <w:rsid w:val="5254702F"/>
    <w:rsid w:val="53BB5A74"/>
    <w:rsid w:val="54B870E1"/>
    <w:rsid w:val="54C72F78"/>
    <w:rsid w:val="54DA4FBD"/>
    <w:rsid w:val="54DF2FDB"/>
    <w:rsid w:val="55E30691"/>
    <w:rsid w:val="56884819"/>
    <w:rsid w:val="57AF4A55"/>
    <w:rsid w:val="57F65347"/>
    <w:rsid w:val="5825630A"/>
    <w:rsid w:val="582E30B9"/>
    <w:rsid w:val="584D3085"/>
    <w:rsid w:val="59245767"/>
    <w:rsid w:val="5A0A1105"/>
    <w:rsid w:val="5A800750"/>
    <w:rsid w:val="5AD5327E"/>
    <w:rsid w:val="5CC840D4"/>
    <w:rsid w:val="5CEC6D24"/>
    <w:rsid w:val="5D2B2941"/>
    <w:rsid w:val="5D5B23D9"/>
    <w:rsid w:val="5D5C1CF2"/>
    <w:rsid w:val="5DB415A9"/>
    <w:rsid w:val="5E577828"/>
    <w:rsid w:val="5F43494D"/>
    <w:rsid w:val="5FA06633"/>
    <w:rsid w:val="5FEA000C"/>
    <w:rsid w:val="5FF54346"/>
    <w:rsid w:val="601248A3"/>
    <w:rsid w:val="60202122"/>
    <w:rsid w:val="608824EB"/>
    <w:rsid w:val="61274229"/>
    <w:rsid w:val="61510608"/>
    <w:rsid w:val="61666B70"/>
    <w:rsid w:val="62AF7D2F"/>
    <w:rsid w:val="63637C1F"/>
    <w:rsid w:val="64B35E16"/>
    <w:rsid w:val="652C09EC"/>
    <w:rsid w:val="6555523D"/>
    <w:rsid w:val="65705D92"/>
    <w:rsid w:val="660671C2"/>
    <w:rsid w:val="66767DD4"/>
    <w:rsid w:val="67CD4E88"/>
    <w:rsid w:val="68434B8B"/>
    <w:rsid w:val="68973E81"/>
    <w:rsid w:val="68BC49AB"/>
    <w:rsid w:val="6B2A18F4"/>
    <w:rsid w:val="6B4122FD"/>
    <w:rsid w:val="6B534D0A"/>
    <w:rsid w:val="6BC84660"/>
    <w:rsid w:val="6C1755F1"/>
    <w:rsid w:val="6C740F0A"/>
    <w:rsid w:val="6C9462C1"/>
    <w:rsid w:val="6C9B4567"/>
    <w:rsid w:val="6E3E43AD"/>
    <w:rsid w:val="6E4619A5"/>
    <w:rsid w:val="6E6B3861"/>
    <w:rsid w:val="6F1E132D"/>
    <w:rsid w:val="6FAA21AF"/>
    <w:rsid w:val="70160286"/>
    <w:rsid w:val="706E08B8"/>
    <w:rsid w:val="707410CF"/>
    <w:rsid w:val="716634E1"/>
    <w:rsid w:val="730C4932"/>
    <w:rsid w:val="73445B98"/>
    <w:rsid w:val="74D335F0"/>
    <w:rsid w:val="75FA112B"/>
    <w:rsid w:val="7642300D"/>
    <w:rsid w:val="789D668F"/>
    <w:rsid w:val="79201F10"/>
    <w:rsid w:val="7A44196C"/>
    <w:rsid w:val="7A543A6A"/>
    <w:rsid w:val="7AA57E2F"/>
    <w:rsid w:val="7AD65AF5"/>
    <w:rsid w:val="7B2D2778"/>
    <w:rsid w:val="7BA73B24"/>
    <w:rsid w:val="7D387AE5"/>
    <w:rsid w:val="7DFD49BB"/>
    <w:rsid w:val="7EB0109A"/>
    <w:rsid w:val="7F90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msoins"/>
    <w:basedOn w:val="4"/>
    <w:qFormat/>
    <w:uiPriority w:val="0"/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2020-02-04T01:26:00Z</dcterms:created>
  <dc:creator>Administrator</dc:creator>
  <cp:lastModifiedBy>Administrator</cp:lastModifiedBy>
  <cp:lastPrinted>2020-03-24T03:11:00Z</cp:lastPrinted>
  <dcterms:modified xsi:type="dcterms:W3CDTF">2020-03-27T08:28:07Z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ribbonExt">
    <vt:lpwstr>{"btnPrintDOC":{"OnGetEnabled":true,"OnGetVisible":true,"OnGetLabel":"打印公文","GetImage":"icon/print.png"},"btnSaveFileTo":{"OnGetEnabled":true,"OnGetVisible":true,"OnGetLabel":"本地另存","GetImage":"icon/save.png"},"btnShowRevision":{"OnGetEnabled":true,"OnGetVisible":true,"OnGetLabel":"打开显示痕迹","GetImage":"icon/modify.png"},"btnAcceptAllRevisions":{"OnGetEnabled":true,"OnGetVisible":true,"OnGetLabel":"接受修订","GetImage":"icon/receive.png"},"btnRejectAllRevisions":{"OnGetEnabled":true,"OnGetVisible":true,"OnGetLabel":"拒绝修订","GetImage":"icon/reject.png"},"btnRedSuite":{"OnGetEnabled":false,"OnGetVisible":true,"OnGetLabel":"套版","GetImage":"icon/template.png"},"btnRedSuiteBack":{"OnGetEnabled":false,"OnGetVisible":true,"OnGetLabel":"恢复套版","GetImage":"icon/recover.png"},"btnSaveLastFile":{"OnGetEnabled":false,"OnGetVisible":true,"OnGetLabel":"保存终稿","GetImage":"icon/savelast.png"},"btnResume":{"OnGetEnabled":false,"OnGetVisible":true,"OnGetLabel":"恢复模板","GetImage":"icon/savelastrecover.png"},"btnSaveFile":{"OnGetEnabled":false,"OnGetVisible":true,"OnGetLabel":"保存文件","GetImage":"icon/save.png"},"btnNetSaveFile":{"OnGetEnabled":true,"OnGetVisible":true,"OnGetLabel":"存为公文","GetImage":"icon/netsave.png"},"FileSaveAs":{"OnGetEnabled":true},"FileSaveAsMenu":{"OnGetEnabled":true},"FilePrint":{"OnGetEnabled":true},"FilePrintMenu":{"OnGetEnabled":true},"ExportToPDF":{"OnGetEnabled":true},"ExportToOFD":{"OnGetEnabled":true,"OnGetVisible":true}}</vt:lpwstr>
  </property>
</Properties>
</file>